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AB224" w14:textId="0491BD27" w:rsidR="00D94C0C" w:rsidRPr="00C92065" w:rsidRDefault="00D94C0C" w:rsidP="00563F1D">
      <w:pPr>
        <w:tabs>
          <w:tab w:val="left" w:pos="6663"/>
        </w:tabs>
        <w:spacing w:after="0" w:line="240" w:lineRule="auto"/>
        <w:ind w:firstLine="703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Додаток </w:t>
      </w:r>
      <w:r w:rsidR="005559E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2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до рішення Комісії</w:t>
      </w:r>
    </w:p>
    <w:p w14:paraId="1770E972" w14:textId="3DD8E95D" w:rsidR="00D94C0C" w:rsidRPr="00C92065" w:rsidRDefault="00D94C0C" w:rsidP="00563F1D">
      <w:pPr>
        <w:tabs>
          <w:tab w:val="left" w:pos="6663"/>
        </w:tabs>
        <w:spacing w:before="240" w:line="120" w:lineRule="auto"/>
        <w:ind w:left="5040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</w:t>
      </w:r>
      <w:r w:rsidR="00563F1D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від 08.0</w:t>
      </w:r>
      <w:r w:rsidR="0068205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7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.2026 № </w:t>
      </w:r>
      <w:r w:rsidR="00563F1D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90/зп-26</w:t>
      </w:r>
    </w:p>
    <w:p w14:paraId="7471F3A5" w14:textId="77777777" w:rsidR="00D94C0C" w:rsidRPr="00D94C0C" w:rsidRDefault="00D94C0C" w:rsidP="00D94C0C">
      <w:pPr>
        <w:spacing w:before="240" w:line="120" w:lineRule="auto"/>
        <w:ind w:left="5040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</w:p>
    <w:p w14:paraId="1FEA725C" w14:textId="77777777" w:rsidR="00631052" w:rsidRDefault="00631052" w:rsidP="00BE7C62">
      <w:pPr>
        <w:spacing w:before="240"/>
        <w:ind w:right="-1"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bookmarkStart w:id="0" w:name="_GoBack"/>
      <w:bookmarkEnd w:id="0"/>
    </w:p>
    <w:p w14:paraId="251D1C02" w14:textId="2370228E" w:rsidR="00DB4D13" w:rsidRPr="00BE7C62" w:rsidRDefault="00DB4D13" w:rsidP="00BE7C62">
      <w:pPr>
        <w:spacing w:before="240"/>
        <w:ind w:right="-1"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BE7C62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Програма курсу для суддів щодо проведення регулярного оцінювання</w:t>
      </w:r>
    </w:p>
    <w:p w14:paraId="20FD6130" w14:textId="77777777" w:rsidR="00C93E6C" w:rsidRDefault="00C93E6C" w:rsidP="00BE7C62">
      <w:pPr>
        <w:suppressAutoHyphens/>
        <w:spacing w:before="240" w:after="0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B5F6C4C" w14:textId="05F208CD" w:rsidR="000B542D" w:rsidRPr="00BE7C62" w:rsidRDefault="00395EA7" w:rsidP="00BE7C62">
      <w:pPr>
        <w:suppressAutoHyphens/>
        <w:spacing w:before="240" w:after="0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E7C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ПРОГРАМА  </w:t>
      </w:r>
    </w:p>
    <w:p w14:paraId="6801D571" w14:textId="71EB0184" w:rsidR="00957912" w:rsidRPr="00BE7C62" w:rsidRDefault="00BE7C62" w:rsidP="005C6EB9">
      <w:pPr>
        <w:ind w:right="-1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7C62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634DCD" w:rsidRPr="00BE7C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Регулярне оцінювання суддів: ролі, методологія та практичні інструменти</w:t>
      </w:r>
      <w:r w:rsidRPr="00BE7C62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957912" w:rsidRPr="00BE7C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33428C5" w14:textId="77777777" w:rsidR="00634DCD" w:rsidRPr="00C93E6C" w:rsidRDefault="00634DCD" w:rsidP="00634DCD">
      <w:pPr>
        <w:spacing w:before="100" w:beforeAutospacing="1" w:after="100" w:afterAutospacing="1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93E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Цільова аудиторія: 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судді, які проходять регулярне оцінювання;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судді, які залучаються до проведення регулярного оцінювання суддів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(викладачі (тренери) НШСУ, судді-колеги).</w:t>
      </w:r>
    </w:p>
    <w:p w14:paraId="79CE0CA7" w14:textId="556B06D5" w:rsidR="00634DCD" w:rsidRPr="00BE7C62" w:rsidRDefault="00E94CF5" w:rsidP="00634DCD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7C62">
        <w:rPr>
          <w:rFonts w:ascii="Times New Roman" w:hAnsi="Times New Roman" w:cs="Times New Roman"/>
          <w:b/>
          <w:i/>
          <w:sz w:val="26"/>
          <w:szCs w:val="26"/>
          <w:lang w:eastAsia="en-US"/>
        </w:rPr>
        <w:t>Мета:</w:t>
      </w:r>
      <w:r w:rsidR="00911AFD" w:rsidRPr="00BE7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1DE63B" w14:textId="6BDEE399" w:rsidR="00634DCD" w:rsidRPr="00C93E6C" w:rsidRDefault="0088796E" w:rsidP="00634DCD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у суддів цілісне та однакове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розуміння мети, принципів і методології регулярного оцінювання судді як інструменту виявлення індивідуальних навчальних потреб і професійного зростання, а також розви</w:t>
      </w:r>
      <w:r w:rsidR="003936E9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нути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практичн</w:t>
      </w:r>
      <w:r w:rsidR="003936E9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 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навич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здійснення регулярного оцінювання суддів викладачами (тренерами), суддями-колегами та самими суддями відповідно до ролі кожного суб’єкта оцінювання.</w:t>
      </w:r>
    </w:p>
    <w:p w14:paraId="610CB487" w14:textId="77777777" w:rsidR="004446ED" w:rsidRPr="00BE7C62" w:rsidRDefault="004446ED" w:rsidP="00FF7403">
      <w:pPr>
        <w:spacing w:after="0"/>
        <w:ind w:right="-1" w:firstLine="708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en-US"/>
        </w:rPr>
      </w:pPr>
      <w:r w:rsidRPr="00BE7C62">
        <w:rPr>
          <w:rFonts w:ascii="Times New Roman" w:hAnsi="Times New Roman" w:cs="Times New Roman"/>
          <w:b/>
          <w:bCs/>
          <w:i/>
          <w:sz w:val="26"/>
          <w:szCs w:val="26"/>
          <w:lang w:eastAsia="en-US"/>
        </w:rPr>
        <w:t>НАВЧАЛЬНІ ЦІЛІ ПРОГРАМИ</w:t>
      </w:r>
    </w:p>
    <w:p w14:paraId="3F768339" w14:textId="77777777" w:rsidR="004446ED" w:rsidRPr="00C93E6C" w:rsidRDefault="004446ED" w:rsidP="004446ED">
      <w:p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 результаті проходження тренінгу учасники повинні:</w:t>
      </w:r>
    </w:p>
    <w:p w14:paraId="4094F5ED" w14:textId="269B9F3B" w:rsidR="004446ED" w:rsidRPr="00C93E6C" w:rsidRDefault="00DE62D9" w:rsidP="00FF7403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з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нати та розуміти:</w:t>
      </w:r>
    </w:p>
    <w:p w14:paraId="2DAB653B" w14:textId="09028FDF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правові заса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ди регулярного оцінювання судді;</w:t>
      </w:r>
    </w:p>
    <w:p w14:paraId="235763FF" w14:textId="7777777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мету регулярного оцінювання та її відмежування від контрольних, дисциплінарних і кваліфікаційних процедур;</w:t>
      </w:r>
    </w:p>
    <w:p w14:paraId="6AA40620" w14:textId="7777777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принципи регулярного оцінювання (об’єктивність, конфіденційність, етичність, неупередженість);</w:t>
      </w:r>
    </w:p>
    <w:p w14:paraId="318BE752" w14:textId="461DDDC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ролі, повноваження та межі відповідальності с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уб’єктів регулярного оцінювання;</w:t>
      </w:r>
    </w:p>
    <w:p w14:paraId="5F360BA1" w14:textId="5E37CAD1" w:rsidR="004446ED" w:rsidRPr="00C93E6C" w:rsidRDefault="00DE62D9" w:rsidP="00195594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у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міти:</w:t>
      </w:r>
    </w:p>
    <w:p w14:paraId="37690D56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застосовувати метод структурованого спостереження залежно від ролі суб’єкта оцінювання;</w:t>
      </w:r>
    </w:p>
    <w:p w14:paraId="54315AA8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коректно працювати з показниками та індикаторами анкет регулярного оцінювання;</w:t>
      </w:r>
    </w:p>
    <w:p w14:paraId="046FC4A3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формулювати вмотивовані рекомендації для професійного зростання судді;</w:t>
      </w:r>
    </w:p>
    <w:p w14:paraId="4ED76061" w14:textId="15DE309A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відмежовувати фактичні спос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тереження від оціночних суджень;</w:t>
      </w:r>
    </w:p>
    <w:p w14:paraId="379947CC" w14:textId="7A909464" w:rsidR="004446ED" w:rsidRPr="00C93E6C" w:rsidRDefault="00DE62D9" w:rsidP="00CD63B5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б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ути здатними:</w:t>
      </w:r>
    </w:p>
    <w:p w14:paraId="0E643FCB" w14:textId="77777777" w:rsidR="004446ED" w:rsidRPr="00C93E6C" w:rsidRDefault="004446ED" w:rsidP="004446ED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усвідомлено брати участь у процедурі регулярного оцінювання як об’єкт оцінювання;</w:t>
      </w:r>
    </w:p>
    <w:p w14:paraId="36F00AB1" w14:textId="77777777" w:rsidR="004446ED" w:rsidRPr="00C93E6C" w:rsidRDefault="004446ED" w:rsidP="004446ED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lastRenderedPageBreak/>
        <w:t>здійснювати регулярне оцінювання інших суддів, у тому числі суддею судді, з дотриманням принципів незалежності та неупередженості;</w:t>
      </w:r>
    </w:p>
    <w:p w14:paraId="31D6E7C4" w14:textId="77777777" w:rsidR="004446ED" w:rsidRPr="00BE7C62" w:rsidRDefault="004446ED" w:rsidP="005413C8">
      <w:pPr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використовувати результати регулярного оцінювання для планування індивідуальної траєкторії професійного розвитку.</w:t>
      </w:r>
    </w:p>
    <w:tbl>
      <w:tblPr>
        <w:tblStyle w:val="af"/>
        <w:tblW w:w="96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47"/>
      </w:tblGrid>
      <w:tr w:rsidR="00E217D0" w:rsidRPr="00BE7C62" w14:paraId="362B622E" w14:textId="77777777" w:rsidTr="005413C8">
        <w:trPr>
          <w:trHeight w:val="554"/>
        </w:trPr>
        <w:tc>
          <w:tcPr>
            <w:tcW w:w="1985" w:type="dxa"/>
            <w:vAlign w:val="center"/>
          </w:tcPr>
          <w:p w14:paraId="6E3843A9" w14:textId="4FD4A972" w:rsidR="00E217D0" w:rsidRPr="00BE7C62" w:rsidRDefault="004446ED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09:30 – </w:t>
            </w:r>
            <w:r w:rsidR="00296EA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9</w:t>
            </w:r>
            <w:r w:rsidR="00296EA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45</w:t>
            </w:r>
          </w:p>
        </w:tc>
        <w:tc>
          <w:tcPr>
            <w:tcW w:w="7647" w:type="dxa"/>
            <w:vAlign w:val="center"/>
          </w:tcPr>
          <w:p w14:paraId="7F889790" w14:textId="77777777" w:rsidR="00E217D0" w:rsidRPr="00BE7C62" w:rsidRDefault="00296EA7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Реєстрація учасників</w:t>
            </w:r>
          </w:p>
        </w:tc>
      </w:tr>
      <w:tr w:rsidR="00104450" w:rsidRPr="00BE7C62" w14:paraId="66BEE14D" w14:textId="77777777" w:rsidTr="005413C8">
        <w:trPr>
          <w:trHeight w:val="830"/>
        </w:trPr>
        <w:tc>
          <w:tcPr>
            <w:tcW w:w="1985" w:type="dxa"/>
          </w:tcPr>
          <w:p w14:paraId="4D9F05FC" w14:textId="333BDEFA" w:rsidR="00104450" w:rsidRPr="00BE7C62" w:rsidRDefault="00104450" w:rsidP="005413C8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9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– 10: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40CF2B5A" w14:textId="7FD2B56F" w:rsidR="00104450" w:rsidRPr="00BE7C62" w:rsidRDefault="00104450" w:rsidP="005413C8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Відкриття </w:t>
            </w:r>
            <w:r w:rsidR="002A2A29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тренінгу</w:t>
            </w: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. Представлення викладачів. Визначення мети та завдань</w:t>
            </w:r>
            <w:r w:rsidR="00AE235A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64138F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тренінгу</w:t>
            </w: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Знайомство.</w:t>
            </w:r>
          </w:p>
        </w:tc>
      </w:tr>
      <w:tr w:rsidR="004E048C" w:rsidRPr="00BE7C62" w14:paraId="16B208DC" w14:textId="77777777" w:rsidTr="005413C8">
        <w:trPr>
          <w:trHeight w:val="843"/>
        </w:trPr>
        <w:tc>
          <w:tcPr>
            <w:tcW w:w="1985" w:type="dxa"/>
            <w:vAlign w:val="center"/>
          </w:tcPr>
          <w:p w14:paraId="06BF968B" w14:textId="77777777" w:rsidR="004E048C" w:rsidRPr="00BE7C62" w:rsidRDefault="004E048C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7EFEF961" w14:textId="6DBB314E" w:rsidR="00BE7C62" w:rsidRPr="00BE7C62" w:rsidRDefault="003B46A9" w:rsidP="005413C8">
            <w:pPr>
              <w:spacing w:before="100" w:beforeAutospacing="1"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1. 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Концепція регулярного оцінювання суддів та європейський досвід</w:t>
            </w:r>
          </w:p>
        </w:tc>
      </w:tr>
      <w:tr w:rsidR="00651FE5" w:rsidRPr="00BE7C62" w14:paraId="24372B5F" w14:textId="77777777" w:rsidTr="005413C8">
        <w:trPr>
          <w:trHeight w:val="4945"/>
        </w:trPr>
        <w:tc>
          <w:tcPr>
            <w:tcW w:w="1985" w:type="dxa"/>
          </w:tcPr>
          <w:p w14:paraId="4842A8EC" w14:textId="7A084FBB" w:rsidR="00651FE5" w:rsidRPr="00BE7C62" w:rsidRDefault="00DB6C92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10: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D5CCF6B" w14:textId="77777777" w:rsidR="005413C8" w:rsidRDefault="004E048C" w:rsidP="00541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 xml:space="preserve">Правові засади регулярного оцінювання суддів в Україні. </w:t>
            </w:r>
          </w:p>
          <w:p w14:paraId="344C949C" w14:textId="0C8E02FB" w:rsidR="004E048C" w:rsidRPr="00BE7C62" w:rsidRDefault="004E048C" w:rsidP="005413C8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Регулярне оцінювання як інструмент суддівської освіти</w:t>
            </w:r>
          </w:p>
          <w:p w14:paraId="5A7C2B2F" w14:textId="005AB342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мета регулярного оцінювання відповідно до статті 90 Закону України «Про судоустрій і статус суддів»;</w:t>
            </w:r>
          </w:p>
          <w:p w14:paraId="68918CAD" w14:textId="19597FF4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відмежування регулярного оцінювання від контролю, дисциплінарної відповідальності та кваліфікаційного оцінювання.</w:t>
            </w:r>
          </w:p>
          <w:p w14:paraId="32CECA8D" w14:textId="06648398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презумпція достатнього рівня компетентності судді;</w:t>
            </w:r>
          </w:p>
          <w:p w14:paraId="423D46CF" w14:textId="2FC3429E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безпечне навчальне середовище;</w:t>
            </w:r>
          </w:p>
          <w:p w14:paraId="43D246E5" w14:textId="458B3F94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рекомендаційний характер результатів оцінювання.</w:t>
            </w:r>
          </w:p>
          <w:p w14:paraId="6CF56A2B" w14:textId="56EDD5E2" w:rsidR="00651FE5" w:rsidRPr="00BE7C62" w:rsidRDefault="00651FE5" w:rsidP="00BE7C6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1DF6E836" w14:textId="1AE5ED72" w:rsidR="000B55AB" w:rsidRPr="00BE7C62" w:rsidRDefault="00651FE5" w:rsidP="00BE7C6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highlight w:val="white"/>
              </w:rPr>
              <w:t xml:space="preserve"> </w:t>
            </w:r>
          </w:p>
        </w:tc>
      </w:tr>
      <w:tr w:rsidR="00020EEB" w:rsidRPr="00BE7C62" w14:paraId="1BFDBCF7" w14:textId="77777777" w:rsidTr="005413C8">
        <w:trPr>
          <w:trHeight w:val="3250"/>
        </w:trPr>
        <w:tc>
          <w:tcPr>
            <w:tcW w:w="1985" w:type="dxa"/>
          </w:tcPr>
          <w:p w14:paraId="5BEB36E5" w14:textId="3B6CAEDC" w:rsidR="00020EEB" w:rsidRPr="00BE7C62" w:rsidRDefault="00020EEB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2C21D7A" w14:textId="382C144B" w:rsidR="004E048C" w:rsidRPr="00BE7C62" w:rsidRDefault="004E048C" w:rsidP="00BE7C62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Досвід європейських шкіл суддів у сфері оцінювання та зворотного зв’язку.</w:t>
            </w: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Ключові принципи європейського підходу до оцінювання суддів</w:t>
            </w:r>
          </w:p>
          <w:p w14:paraId="6732BF3E" w14:textId="3C9F7861" w:rsidR="004E048C" w:rsidRPr="005413C8" w:rsidRDefault="006A372B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A3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formative assessment (формувальне оцінювання) у суддівській освіті;</w:t>
            </w:r>
          </w:p>
          <w:p w14:paraId="20DFA5C9" w14:textId="50D8C982" w:rsidR="004E048C" w:rsidRPr="00BE7C62" w:rsidRDefault="006A372B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1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peer review / peer-to-peer evaluation (колегіальне оцінювання, оцінювання «рівний рівному»);</w:t>
            </w:r>
          </w:p>
          <w:p w14:paraId="3EE7D7F3" w14:textId="27B7695A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self-assessment (самооцінювання) як основа професійного розвитку судді;</w:t>
            </w:r>
          </w:p>
          <w:p w14:paraId="5F546D80" w14:textId="42517577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роль суддівських шкіл у виявленні навчальних потреб без втручання у незалежність судді.</w:t>
            </w:r>
          </w:p>
          <w:p w14:paraId="44F9BABD" w14:textId="4A1432EB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confidentiality (конфіденційність);</w:t>
            </w:r>
          </w:p>
          <w:p w14:paraId="3B7DCC70" w14:textId="7D0D4CD9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non-evaluative and non-punitive approach (некаральний,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неоцінювальний підхід);</w:t>
            </w:r>
          </w:p>
          <w:p w14:paraId="6418AE1E" w14:textId="42C39C1E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separation from disciplinary procedures (відокремлення від дисциплінарних процедур);</w:t>
            </w:r>
          </w:p>
          <w:p w14:paraId="21DC8F0A" w14:textId="024A23A9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focus on professional development (орієнтація на професійний розвиток).</w:t>
            </w:r>
          </w:p>
          <w:p w14:paraId="256839D1" w14:textId="6548F6CD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відповідність Методичних рекомендацій НШСУ європейським стандартам суддівської освіти;</w:t>
            </w:r>
          </w:p>
          <w:p w14:paraId="2A7ECFD5" w14:textId="3B30F063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регулярне оцінювання як складова безперервного професійного розвитку суддів.</w:t>
            </w:r>
          </w:p>
          <w:p w14:paraId="0B763F7A" w14:textId="77777777" w:rsidR="004E048C" w:rsidRPr="00BE7C62" w:rsidRDefault="008466E0" w:rsidP="004E54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Інтерактивна лекція з використанням презентації</w:t>
            </w:r>
          </w:p>
          <w:p w14:paraId="69A5E2E1" w14:textId="44204D19" w:rsidR="008466E0" w:rsidRPr="00BE7C62" w:rsidRDefault="008466E0" w:rsidP="004E54D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="0014232C" w:rsidRPr="00BE7C62">
              <w:rPr>
                <w:rFonts w:ascii="Times New Roman" w:hAnsi="Times New Roman" w:cs="Times New Roman"/>
                <w:b/>
                <w:i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56275" w:rsidRPr="00BE7C62" w14:paraId="2F698BC5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67381084" w14:textId="14855020" w:rsidR="00B56275" w:rsidRPr="00BE7C62" w:rsidRDefault="00837561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="00B56275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0-11: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="00C3359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  <w:vAlign w:val="center"/>
          </w:tcPr>
          <w:p w14:paraId="6CDE838C" w14:textId="1F2C5997" w:rsidR="00B56275" w:rsidRPr="00BE7C62" w:rsidRDefault="00685D38" w:rsidP="0019298D">
            <w:pPr>
              <w:spacing w:after="0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Питання-відповіді. Обговорення.</w:t>
            </w:r>
          </w:p>
        </w:tc>
      </w:tr>
      <w:tr w:rsidR="00685D38" w:rsidRPr="00BE7C62" w14:paraId="16F243EC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0402D91C" w14:textId="3DE02C1E" w:rsidR="00685D38" w:rsidRPr="00BE7C62" w:rsidRDefault="00685D38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11:00-11:10</w:t>
            </w:r>
          </w:p>
        </w:tc>
        <w:tc>
          <w:tcPr>
            <w:tcW w:w="7647" w:type="dxa"/>
            <w:vAlign w:val="center"/>
          </w:tcPr>
          <w:p w14:paraId="7C4FA823" w14:textId="2BB36B13" w:rsidR="00685D38" w:rsidRPr="00BE7C62" w:rsidRDefault="00685D38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ПЕРЕРВА</w:t>
            </w:r>
          </w:p>
        </w:tc>
      </w:tr>
      <w:tr w:rsidR="00D23658" w:rsidRPr="00BE7C62" w14:paraId="31941442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5A4A14EE" w14:textId="77777777" w:rsidR="00D23658" w:rsidRPr="00BE7C62" w:rsidRDefault="00D23658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6711D137" w14:textId="24CFDBAE" w:rsidR="00D23658" w:rsidRPr="00BE7C62" w:rsidRDefault="00D23658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МОДУЛЬ 2</w:t>
            </w:r>
          </w:p>
        </w:tc>
      </w:tr>
      <w:tr w:rsidR="00B56275" w:rsidRPr="00BE7C62" w14:paraId="786159CC" w14:textId="77777777" w:rsidTr="005413C8">
        <w:trPr>
          <w:trHeight w:val="3746"/>
        </w:trPr>
        <w:tc>
          <w:tcPr>
            <w:tcW w:w="1985" w:type="dxa"/>
          </w:tcPr>
          <w:p w14:paraId="7387A77C" w14:textId="73FD8EB0" w:rsidR="00B56275" w:rsidRPr="00BE7C62" w:rsidRDefault="00B56275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11: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C3359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–1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="00522B9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0C72733" w14:textId="4AB3C9BA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Суддя як об’єкт регулярного оцінювання (самооцінювання)</w:t>
            </w:r>
          </w:p>
          <w:p w14:paraId="01ECB91F" w14:textId="1B252818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 судді: мета та завдання.</w:t>
            </w:r>
          </w:p>
          <w:p w14:paraId="7186893D" w14:textId="72A02C76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Метод самоспостереження та його застосування.</w:t>
            </w:r>
          </w:p>
          <w:p w14:paraId="514BE518" w14:textId="16AA2C15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Критерії та індикатори самооцінювання.</w:t>
            </w:r>
          </w:p>
          <w:p w14:paraId="67A0A4E8" w14:textId="0EDBBF0F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Типові помилки самооцінювання.</w:t>
            </w:r>
          </w:p>
          <w:p w14:paraId="18E3344C" w14:textId="0E6C9E67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Використання результатів самооцінювання для професійного зростання.</w:t>
            </w:r>
          </w:p>
          <w:p w14:paraId="4ED49DEA" w14:textId="77777777" w:rsidR="00D23658" w:rsidRPr="00BE7C62" w:rsidRDefault="00B56275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Інтерактивна лекція з використанням презентації</w:t>
            </w:r>
            <w:r w:rsidR="006D1478"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C8D00B7" w14:textId="5F9AC06A" w:rsidR="00C971D7" w:rsidRPr="00BE7C62" w:rsidRDefault="00B56275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  <w:highlight w:val="white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highlight w:val="white"/>
              </w:rPr>
              <w:t xml:space="preserve"> </w:t>
            </w:r>
          </w:p>
        </w:tc>
      </w:tr>
      <w:tr w:rsidR="00CF5285" w:rsidRPr="00BE7C62" w14:paraId="7F967C96" w14:textId="77777777" w:rsidTr="005413C8">
        <w:trPr>
          <w:trHeight w:val="843"/>
        </w:trPr>
        <w:tc>
          <w:tcPr>
            <w:tcW w:w="1985" w:type="dxa"/>
          </w:tcPr>
          <w:p w14:paraId="51D8C21C" w14:textId="0DE0F1DE" w:rsidR="00CF5285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522B9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0–1</w:t>
            </w:r>
            <w:r w:rsidR="00D2365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D2365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6230E1C0" w14:textId="7A8EE52E" w:rsidR="00D23658" w:rsidRPr="00BE7C62" w:rsidRDefault="00D23658" w:rsidP="00BE7C62">
            <w:pPr>
              <w:spacing w:after="0"/>
              <w:ind w:right="-1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Індивідуальна робота  у групах з фрагментами анкети.</w:t>
            </w:r>
          </w:p>
          <w:p w14:paraId="039B8052" w14:textId="56FB0427" w:rsidR="00A533DD" w:rsidRPr="00BE7C62" w:rsidRDefault="00A533DD" w:rsidP="00BE7C62">
            <w:pPr>
              <w:spacing w:after="0"/>
              <w:ind w:right="-1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Модератори: </w:t>
            </w:r>
          </w:p>
        </w:tc>
      </w:tr>
      <w:tr w:rsidR="00B62AAF" w:rsidRPr="00BE7C62" w14:paraId="650597D9" w14:textId="77777777" w:rsidTr="005413C8">
        <w:trPr>
          <w:trHeight w:val="3709"/>
        </w:trPr>
        <w:tc>
          <w:tcPr>
            <w:tcW w:w="1985" w:type="dxa"/>
          </w:tcPr>
          <w:p w14:paraId="1F31458F" w14:textId="1715CC28" w:rsidR="00B62AAF" w:rsidRPr="00BE7C62" w:rsidRDefault="00B62AAF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12:4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–13:00</w:t>
            </w:r>
          </w:p>
        </w:tc>
        <w:tc>
          <w:tcPr>
            <w:tcW w:w="7647" w:type="dxa"/>
          </w:tcPr>
          <w:p w14:paraId="10C2E116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Регулярне оцінювання судді суддею-колегою</w:t>
            </w:r>
          </w:p>
          <w:p w14:paraId="67C74CCC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Місце колегіального оцінювання у системі регулярного оцінювання суддів.</w:t>
            </w:r>
          </w:p>
          <w:p w14:paraId="63DA2ACA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Об’єкт оцінювання судді суддею-колегою.</w:t>
            </w:r>
          </w:p>
          <w:p w14:paraId="43A86AD0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Метод спостереження у колегіальному оцінюванні.</w:t>
            </w:r>
          </w:p>
          <w:p w14:paraId="2F1688D4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Відмежування рекомендацій від критики та контролю.</w:t>
            </w:r>
          </w:p>
          <w:p w14:paraId="0E8BE9A3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Ризики колегіального оцінювання та гарантії незалежності судді.</w:t>
            </w:r>
          </w:p>
          <w:p w14:paraId="74DF3DAE" w14:textId="77777777" w:rsidR="009439D0" w:rsidRPr="00BE7C62" w:rsidRDefault="009439D0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404653B2" w14:textId="2A77FF23" w:rsidR="00B62AAF" w:rsidRPr="00BE7C62" w:rsidRDefault="009439D0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</w:p>
        </w:tc>
      </w:tr>
      <w:tr w:rsidR="008D77CD" w:rsidRPr="00BE7C62" w14:paraId="26B3F00F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6267F9DF" w14:textId="77028B59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13:00-13:20</w:t>
            </w:r>
          </w:p>
        </w:tc>
        <w:tc>
          <w:tcPr>
            <w:tcW w:w="7647" w:type="dxa"/>
            <w:vAlign w:val="center"/>
          </w:tcPr>
          <w:p w14:paraId="49E9BAE6" w14:textId="317640F2" w:rsidR="008D77CD" w:rsidRPr="00BE7C62" w:rsidRDefault="008D77CD" w:rsidP="00BE7C62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Аналіз</w:t>
            </w:r>
            <w:r w:rsidR="000738C5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практичних ситуацій</w:t>
            </w:r>
          </w:p>
        </w:tc>
      </w:tr>
      <w:tr w:rsidR="0026705A" w:rsidRPr="00BE7C62" w14:paraId="77EBAE93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2F3AE5D2" w14:textId="62C43E23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13: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0-14:00</w:t>
            </w:r>
          </w:p>
        </w:tc>
        <w:tc>
          <w:tcPr>
            <w:tcW w:w="7647" w:type="dxa"/>
            <w:vAlign w:val="center"/>
          </w:tcPr>
          <w:p w14:paraId="018F7798" w14:textId="0162CCB0" w:rsidR="0026705A" w:rsidRPr="00BE7C62" w:rsidRDefault="0026705A" w:rsidP="00BE7C62">
            <w:pPr>
              <w:spacing w:after="0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ПЕРЕРВА</w:t>
            </w:r>
          </w:p>
        </w:tc>
      </w:tr>
      <w:tr w:rsidR="008D77CD" w:rsidRPr="00BE7C62" w14:paraId="371D7135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1669846B" w14:textId="76BB5546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6909C6D3" w14:textId="20A63F1C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3</w:t>
            </w:r>
          </w:p>
        </w:tc>
      </w:tr>
      <w:tr w:rsidR="0026705A" w:rsidRPr="00BE7C62" w14:paraId="3A746A8E" w14:textId="77777777" w:rsidTr="005413C8">
        <w:trPr>
          <w:trHeight w:val="2824"/>
        </w:trPr>
        <w:tc>
          <w:tcPr>
            <w:tcW w:w="1985" w:type="dxa"/>
          </w:tcPr>
          <w:p w14:paraId="00A4608C" w14:textId="2264D0BC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460BAE2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Регулярне оцінювання судді викладачем (тренером) НШСУ</w:t>
            </w:r>
          </w:p>
          <w:p w14:paraId="49254511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Оцінювання судді у навчальному контексті: межі та особливості.</w:t>
            </w:r>
          </w:p>
          <w:p w14:paraId="35D785C7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Роль викладача (тренера) як фахового спостерігача.</w:t>
            </w:r>
          </w:p>
          <w:p w14:paraId="2833ECA6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Показники, що підлягають оцінюванню під час навчального заходу.</w:t>
            </w:r>
          </w:p>
          <w:p w14:paraId="6B0A6F7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Типові помилки тренерського оцінювання.</w:t>
            </w:r>
          </w:p>
          <w:p w14:paraId="62466CD6" w14:textId="65B4E6C1" w:rsidR="0026705A" w:rsidRPr="00BE7C62" w:rsidRDefault="0026705A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02C0D33D" w14:textId="10A87027" w:rsidR="0026705A" w:rsidRPr="00BE7C62" w:rsidRDefault="0026705A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</w:p>
        </w:tc>
      </w:tr>
      <w:tr w:rsidR="008D77CD" w:rsidRPr="00BE7C62" w14:paraId="23F425D8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3979AB7B" w14:textId="77777777" w:rsidR="008D77CD" w:rsidRPr="00BE7C62" w:rsidRDefault="008D77CD" w:rsidP="005C597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0BB46E32" w14:textId="552B7920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4</w:t>
            </w:r>
          </w:p>
        </w:tc>
      </w:tr>
      <w:tr w:rsidR="0026705A" w:rsidRPr="00BE7C62" w14:paraId="5637F21E" w14:textId="77777777" w:rsidTr="005413C8">
        <w:trPr>
          <w:trHeight w:val="421"/>
        </w:trPr>
        <w:tc>
          <w:tcPr>
            <w:tcW w:w="1985" w:type="dxa"/>
          </w:tcPr>
          <w:p w14:paraId="305353A1" w14:textId="2DB2B4C1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14: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AA4084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7DBA2FED" w14:textId="77777777" w:rsidR="008D77CD" w:rsidRPr="00BE7C62" w:rsidRDefault="008D77CD" w:rsidP="005413C8">
            <w:pPr>
              <w:spacing w:line="240" w:lineRule="auto"/>
              <w:ind w:right="-1"/>
              <w:outlineLvl w:val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Практика регулярного оцінювання та формування рекомендацій</w:t>
            </w:r>
          </w:p>
          <w:p w14:paraId="6ACD86BD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Робота з кейсами колегіального та тренерського оцінювання.</w:t>
            </w:r>
          </w:p>
          <w:p w14:paraId="69B6F360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Фіксація результатів спостереження відповідно до показників анкет.</w:t>
            </w:r>
          </w:p>
          <w:p w14:paraId="2AA38750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Формулювання та мотивування рекомендацій для професійного зростання.</w:t>
            </w:r>
          </w:p>
          <w:p w14:paraId="5E8ACEF1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Аналіз типових помилок у рекомендаціях.</w:t>
            </w:r>
          </w:p>
          <w:p w14:paraId="07BC19D7" w14:textId="7C05D4EE" w:rsidR="00941F1D" w:rsidRPr="00BE7C62" w:rsidRDefault="008D77CD" w:rsidP="005C597A">
            <w:pPr>
              <w:spacing w:after="0" w:line="36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Форма роботи:</w:t>
            </w: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групова практична робота</w:t>
            </w:r>
          </w:p>
        </w:tc>
      </w:tr>
      <w:tr w:rsidR="008D77CD" w:rsidRPr="00BE7C62" w14:paraId="7F91B521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179CCC77" w14:textId="77777777" w:rsidR="008D77CD" w:rsidRPr="00BE7C62" w:rsidRDefault="008D77CD" w:rsidP="005C597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755CAE25" w14:textId="7B27B435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</w:t>
            </w:r>
          </w:p>
        </w:tc>
      </w:tr>
      <w:tr w:rsidR="0026705A" w:rsidRPr="00BE7C62" w14:paraId="5FEE77A5" w14:textId="77777777" w:rsidTr="005413C8">
        <w:trPr>
          <w:trHeight w:val="421"/>
        </w:trPr>
        <w:tc>
          <w:tcPr>
            <w:tcW w:w="1985" w:type="dxa"/>
          </w:tcPr>
          <w:p w14:paraId="4D03DFD7" w14:textId="6CEEDF5E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345DD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257AE6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6455BAD3" w14:textId="77777777" w:rsidR="008D77CD" w:rsidRPr="00BE7C62" w:rsidRDefault="008D77CD" w:rsidP="005413C8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Робота із запереченнями та етичні аспекти регулярного оцінювання</w:t>
            </w:r>
          </w:p>
          <w:p w14:paraId="47ED13B5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Право судді на подання заперечень.</w:t>
            </w:r>
          </w:p>
          <w:p w14:paraId="6D19E58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Алгоритм дій суб’єкта оцінювання.</w:t>
            </w:r>
          </w:p>
          <w:p w14:paraId="1587B05C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Етичні аспекти та збереження довіри до процедури регулярного оцінювання.</w:t>
            </w:r>
          </w:p>
          <w:p w14:paraId="28AF1612" w14:textId="6FBD082D" w:rsidR="00BE7C62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Форма роботи:</w:t>
            </w: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дискусія.</w:t>
            </w:r>
          </w:p>
        </w:tc>
      </w:tr>
      <w:tr w:rsidR="008D77CD" w:rsidRPr="00BE7C62" w14:paraId="3CA98843" w14:textId="77777777" w:rsidTr="005413C8">
        <w:trPr>
          <w:trHeight w:val="555"/>
        </w:trPr>
        <w:tc>
          <w:tcPr>
            <w:tcW w:w="1985" w:type="dxa"/>
            <w:vAlign w:val="center"/>
          </w:tcPr>
          <w:p w14:paraId="004DF647" w14:textId="691F9943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16:00-16:15</w:t>
            </w:r>
          </w:p>
        </w:tc>
        <w:tc>
          <w:tcPr>
            <w:tcW w:w="7647" w:type="dxa"/>
            <w:vAlign w:val="center"/>
          </w:tcPr>
          <w:p w14:paraId="49EDA396" w14:textId="3D39444C" w:rsidR="008D77CD" w:rsidRPr="00BE7C62" w:rsidRDefault="008D77CD" w:rsidP="00BE7C6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Підбиття підсумків тренінгу. Зворотний зв’язок від учасників.</w:t>
            </w:r>
          </w:p>
        </w:tc>
      </w:tr>
    </w:tbl>
    <w:p w14:paraId="762E44A4" w14:textId="77777777" w:rsidR="00F52813" w:rsidRPr="00373BD4" w:rsidRDefault="00F52813" w:rsidP="005D2769">
      <w:pPr>
        <w:spacing w:before="40"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F52813" w:rsidRPr="00373BD4" w:rsidSect="00D94C0C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45C6" w14:textId="77777777" w:rsidR="00480CD8" w:rsidRDefault="00480CD8" w:rsidP="00D94C0C">
      <w:pPr>
        <w:spacing w:after="0" w:line="240" w:lineRule="auto"/>
      </w:pPr>
      <w:r>
        <w:separator/>
      </w:r>
    </w:p>
  </w:endnote>
  <w:endnote w:type="continuationSeparator" w:id="0">
    <w:p w14:paraId="26D23EFF" w14:textId="77777777" w:rsidR="00480CD8" w:rsidRDefault="00480CD8" w:rsidP="00D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71DBF" w14:textId="77777777" w:rsidR="00480CD8" w:rsidRDefault="00480CD8" w:rsidP="00D94C0C">
      <w:pPr>
        <w:spacing w:after="0" w:line="240" w:lineRule="auto"/>
      </w:pPr>
      <w:r>
        <w:separator/>
      </w:r>
    </w:p>
  </w:footnote>
  <w:footnote w:type="continuationSeparator" w:id="0">
    <w:p w14:paraId="27661EBE" w14:textId="77777777" w:rsidR="00480CD8" w:rsidRDefault="00480CD8" w:rsidP="00D9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345432"/>
      <w:docPartObj>
        <w:docPartGallery w:val="Page Numbers (Top of Page)"/>
        <w:docPartUnique/>
      </w:docPartObj>
    </w:sdtPr>
    <w:sdtEndPr/>
    <w:sdtContent>
      <w:p w14:paraId="7962E6F8" w14:textId="38ED9E06" w:rsidR="00D94C0C" w:rsidRDefault="00D94C0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F1D" w:rsidRPr="00563F1D">
          <w:rPr>
            <w:noProof/>
            <w:lang w:val="ru-RU"/>
          </w:rPr>
          <w:t>2</w:t>
        </w:r>
        <w:r>
          <w:fldChar w:fldCharType="end"/>
        </w:r>
      </w:p>
    </w:sdtContent>
  </w:sdt>
  <w:p w14:paraId="63DE8733" w14:textId="77777777" w:rsidR="00D94C0C" w:rsidRDefault="00D94C0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3DFD"/>
    <w:multiLevelType w:val="multilevel"/>
    <w:tmpl w:val="9E9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A78A8"/>
    <w:multiLevelType w:val="multilevel"/>
    <w:tmpl w:val="34BA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F46E6"/>
    <w:multiLevelType w:val="multilevel"/>
    <w:tmpl w:val="38E2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67D25"/>
    <w:multiLevelType w:val="multilevel"/>
    <w:tmpl w:val="85F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93C84"/>
    <w:multiLevelType w:val="hybridMultilevel"/>
    <w:tmpl w:val="518CE236"/>
    <w:lvl w:ilvl="0" w:tplc="9CC4A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6876F2"/>
    <w:multiLevelType w:val="multilevel"/>
    <w:tmpl w:val="F244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D7D56"/>
    <w:multiLevelType w:val="multilevel"/>
    <w:tmpl w:val="216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6249B"/>
    <w:multiLevelType w:val="multilevel"/>
    <w:tmpl w:val="320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677A9"/>
    <w:multiLevelType w:val="multilevel"/>
    <w:tmpl w:val="C27A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24E01"/>
    <w:multiLevelType w:val="multilevel"/>
    <w:tmpl w:val="9CEA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22822"/>
    <w:multiLevelType w:val="hybridMultilevel"/>
    <w:tmpl w:val="94587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0"/>
    <w:rsid w:val="00007E3C"/>
    <w:rsid w:val="00014710"/>
    <w:rsid w:val="000149C8"/>
    <w:rsid w:val="00014BA3"/>
    <w:rsid w:val="00017C3A"/>
    <w:rsid w:val="00017C4C"/>
    <w:rsid w:val="00017C72"/>
    <w:rsid w:val="00020CDC"/>
    <w:rsid w:val="00020EEB"/>
    <w:rsid w:val="000247EC"/>
    <w:rsid w:val="0002521B"/>
    <w:rsid w:val="000322D7"/>
    <w:rsid w:val="00040C3D"/>
    <w:rsid w:val="00041211"/>
    <w:rsid w:val="00043AB7"/>
    <w:rsid w:val="000738C5"/>
    <w:rsid w:val="00083AA9"/>
    <w:rsid w:val="00083EDA"/>
    <w:rsid w:val="00084390"/>
    <w:rsid w:val="00091FBE"/>
    <w:rsid w:val="00094E43"/>
    <w:rsid w:val="00094F37"/>
    <w:rsid w:val="00096BC6"/>
    <w:rsid w:val="000A2FE3"/>
    <w:rsid w:val="000A63A8"/>
    <w:rsid w:val="000A7238"/>
    <w:rsid w:val="000B2223"/>
    <w:rsid w:val="000B542D"/>
    <w:rsid w:val="000B55AB"/>
    <w:rsid w:val="000C232F"/>
    <w:rsid w:val="000C5C00"/>
    <w:rsid w:val="000D1B65"/>
    <w:rsid w:val="000D74E4"/>
    <w:rsid w:val="000E125A"/>
    <w:rsid w:val="000E2436"/>
    <w:rsid w:val="000E3DE0"/>
    <w:rsid w:val="000F03D2"/>
    <w:rsid w:val="000F7B07"/>
    <w:rsid w:val="00101EF5"/>
    <w:rsid w:val="001025B8"/>
    <w:rsid w:val="00103601"/>
    <w:rsid w:val="001039BB"/>
    <w:rsid w:val="00104450"/>
    <w:rsid w:val="00110D14"/>
    <w:rsid w:val="00123326"/>
    <w:rsid w:val="0012578E"/>
    <w:rsid w:val="00125AE7"/>
    <w:rsid w:val="001279F9"/>
    <w:rsid w:val="0013087C"/>
    <w:rsid w:val="0013306B"/>
    <w:rsid w:val="00137BB5"/>
    <w:rsid w:val="0014232C"/>
    <w:rsid w:val="00162111"/>
    <w:rsid w:val="00172B07"/>
    <w:rsid w:val="0019298D"/>
    <w:rsid w:val="00195594"/>
    <w:rsid w:val="001A000F"/>
    <w:rsid w:val="001A0493"/>
    <w:rsid w:val="001A7764"/>
    <w:rsid w:val="001B5B4C"/>
    <w:rsid w:val="001B778E"/>
    <w:rsid w:val="001C027E"/>
    <w:rsid w:val="001C29C7"/>
    <w:rsid w:val="001C63F4"/>
    <w:rsid w:val="001D2EFB"/>
    <w:rsid w:val="001D3611"/>
    <w:rsid w:val="001D4274"/>
    <w:rsid w:val="001D5B86"/>
    <w:rsid w:val="001E2CF7"/>
    <w:rsid w:val="001F4D41"/>
    <w:rsid w:val="001F5533"/>
    <w:rsid w:val="002007C7"/>
    <w:rsid w:val="00212A61"/>
    <w:rsid w:val="00212F69"/>
    <w:rsid w:val="00215EC5"/>
    <w:rsid w:val="00217935"/>
    <w:rsid w:val="002218E8"/>
    <w:rsid w:val="00222C7A"/>
    <w:rsid w:val="00223134"/>
    <w:rsid w:val="00226A3B"/>
    <w:rsid w:val="00242F3D"/>
    <w:rsid w:val="00250F9B"/>
    <w:rsid w:val="00253EE2"/>
    <w:rsid w:val="00257AE6"/>
    <w:rsid w:val="00257C56"/>
    <w:rsid w:val="002602EB"/>
    <w:rsid w:val="0026705A"/>
    <w:rsid w:val="002748C1"/>
    <w:rsid w:val="002754DE"/>
    <w:rsid w:val="00281200"/>
    <w:rsid w:val="00291ED3"/>
    <w:rsid w:val="00295DA8"/>
    <w:rsid w:val="00296C97"/>
    <w:rsid w:val="00296CC0"/>
    <w:rsid w:val="00296EA7"/>
    <w:rsid w:val="002A2A29"/>
    <w:rsid w:val="002A3856"/>
    <w:rsid w:val="002B3A44"/>
    <w:rsid w:val="002B4B77"/>
    <w:rsid w:val="002B7C39"/>
    <w:rsid w:val="002C38E7"/>
    <w:rsid w:val="002C4DEF"/>
    <w:rsid w:val="002D0E73"/>
    <w:rsid w:val="002D2218"/>
    <w:rsid w:val="002E5792"/>
    <w:rsid w:val="002E7A14"/>
    <w:rsid w:val="002F6DFC"/>
    <w:rsid w:val="00300795"/>
    <w:rsid w:val="00307745"/>
    <w:rsid w:val="00307D10"/>
    <w:rsid w:val="003105BA"/>
    <w:rsid w:val="003316A3"/>
    <w:rsid w:val="00334F7D"/>
    <w:rsid w:val="0034152A"/>
    <w:rsid w:val="003421B8"/>
    <w:rsid w:val="003458E3"/>
    <w:rsid w:val="00345DD7"/>
    <w:rsid w:val="003544C9"/>
    <w:rsid w:val="00362F6B"/>
    <w:rsid w:val="003664C9"/>
    <w:rsid w:val="00373BD4"/>
    <w:rsid w:val="00381AAB"/>
    <w:rsid w:val="00385F7E"/>
    <w:rsid w:val="00390621"/>
    <w:rsid w:val="003936E9"/>
    <w:rsid w:val="00395EA7"/>
    <w:rsid w:val="0039725C"/>
    <w:rsid w:val="00397E44"/>
    <w:rsid w:val="003A0443"/>
    <w:rsid w:val="003A1BF9"/>
    <w:rsid w:val="003A4936"/>
    <w:rsid w:val="003A6784"/>
    <w:rsid w:val="003A6B5A"/>
    <w:rsid w:val="003A7025"/>
    <w:rsid w:val="003B46A9"/>
    <w:rsid w:val="003B7702"/>
    <w:rsid w:val="003C1CB0"/>
    <w:rsid w:val="003C363B"/>
    <w:rsid w:val="003C5DEC"/>
    <w:rsid w:val="003C63A8"/>
    <w:rsid w:val="003D1F5D"/>
    <w:rsid w:val="003D30F4"/>
    <w:rsid w:val="003E44AC"/>
    <w:rsid w:val="003E4791"/>
    <w:rsid w:val="003E506E"/>
    <w:rsid w:val="003F047F"/>
    <w:rsid w:val="003F34F8"/>
    <w:rsid w:val="003F7F1C"/>
    <w:rsid w:val="00405369"/>
    <w:rsid w:val="00416C1D"/>
    <w:rsid w:val="004245DE"/>
    <w:rsid w:val="00426AE9"/>
    <w:rsid w:val="004276C3"/>
    <w:rsid w:val="004307E3"/>
    <w:rsid w:val="00432CF5"/>
    <w:rsid w:val="004356E4"/>
    <w:rsid w:val="00437D14"/>
    <w:rsid w:val="00440B9C"/>
    <w:rsid w:val="00440CB8"/>
    <w:rsid w:val="00441640"/>
    <w:rsid w:val="0044421A"/>
    <w:rsid w:val="004446ED"/>
    <w:rsid w:val="00445DD8"/>
    <w:rsid w:val="004470E6"/>
    <w:rsid w:val="00456085"/>
    <w:rsid w:val="00456291"/>
    <w:rsid w:val="00460CE7"/>
    <w:rsid w:val="00463EAF"/>
    <w:rsid w:val="004707F4"/>
    <w:rsid w:val="00470BF0"/>
    <w:rsid w:val="0047333C"/>
    <w:rsid w:val="00473C57"/>
    <w:rsid w:val="00480CD8"/>
    <w:rsid w:val="00481341"/>
    <w:rsid w:val="00491723"/>
    <w:rsid w:val="00494C79"/>
    <w:rsid w:val="00496BFF"/>
    <w:rsid w:val="004A3C51"/>
    <w:rsid w:val="004A5822"/>
    <w:rsid w:val="004B63A3"/>
    <w:rsid w:val="004C18D7"/>
    <w:rsid w:val="004D5406"/>
    <w:rsid w:val="004E048C"/>
    <w:rsid w:val="004E1B6A"/>
    <w:rsid w:val="004E238D"/>
    <w:rsid w:val="004E54D7"/>
    <w:rsid w:val="004E6AE3"/>
    <w:rsid w:val="004F04E2"/>
    <w:rsid w:val="004F23F2"/>
    <w:rsid w:val="004F42B9"/>
    <w:rsid w:val="004F6A41"/>
    <w:rsid w:val="005145FE"/>
    <w:rsid w:val="00520919"/>
    <w:rsid w:val="0052138A"/>
    <w:rsid w:val="00521988"/>
    <w:rsid w:val="00522B98"/>
    <w:rsid w:val="00531959"/>
    <w:rsid w:val="00532324"/>
    <w:rsid w:val="0053635D"/>
    <w:rsid w:val="005372E2"/>
    <w:rsid w:val="005413C8"/>
    <w:rsid w:val="005463AF"/>
    <w:rsid w:val="005475D6"/>
    <w:rsid w:val="005521FD"/>
    <w:rsid w:val="00553A69"/>
    <w:rsid w:val="005559EA"/>
    <w:rsid w:val="00561277"/>
    <w:rsid w:val="00563A21"/>
    <w:rsid w:val="00563F1D"/>
    <w:rsid w:val="00565099"/>
    <w:rsid w:val="00573F3F"/>
    <w:rsid w:val="00583573"/>
    <w:rsid w:val="00587EAA"/>
    <w:rsid w:val="00591EB4"/>
    <w:rsid w:val="00591ED9"/>
    <w:rsid w:val="00592A03"/>
    <w:rsid w:val="00594FD8"/>
    <w:rsid w:val="005A5F63"/>
    <w:rsid w:val="005B0C6C"/>
    <w:rsid w:val="005B2DBE"/>
    <w:rsid w:val="005C2BF3"/>
    <w:rsid w:val="005C597A"/>
    <w:rsid w:val="005C607D"/>
    <w:rsid w:val="005C6EB9"/>
    <w:rsid w:val="005D0D28"/>
    <w:rsid w:val="005D13D1"/>
    <w:rsid w:val="005D2769"/>
    <w:rsid w:val="005D2905"/>
    <w:rsid w:val="005F11F0"/>
    <w:rsid w:val="005F24D1"/>
    <w:rsid w:val="005F2941"/>
    <w:rsid w:val="00614055"/>
    <w:rsid w:val="00631052"/>
    <w:rsid w:val="0063231E"/>
    <w:rsid w:val="00632CFE"/>
    <w:rsid w:val="00633F31"/>
    <w:rsid w:val="00634DCD"/>
    <w:rsid w:val="00636C30"/>
    <w:rsid w:val="00641252"/>
    <w:rsid w:val="0064138F"/>
    <w:rsid w:val="00642263"/>
    <w:rsid w:val="00644884"/>
    <w:rsid w:val="00647BE2"/>
    <w:rsid w:val="00651FE5"/>
    <w:rsid w:val="00657841"/>
    <w:rsid w:val="0066089A"/>
    <w:rsid w:val="00661D05"/>
    <w:rsid w:val="00665370"/>
    <w:rsid w:val="006661FF"/>
    <w:rsid w:val="006670DE"/>
    <w:rsid w:val="00672BE3"/>
    <w:rsid w:val="0068074A"/>
    <w:rsid w:val="0068205A"/>
    <w:rsid w:val="00685D38"/>
    <w:rsid w:val="00686769"/>
    <w:rsid w:val="0069628C"/>
    <w:rsid w:val="00696B32"/>
    <w:rsid w:val="006A09CD"/>
    <w:rsid w:val="006A372B"/>
    <w:rsid w:val="006B0189"/>
    <w:rsid w:val="006B3CDB"/>
    <w:rsid w:val="006B5213"/>
    <w:rsid w:val="006C6A57"/>
    <w:rsid w:val="006D1478"/>
    <w:rsid w:val="006D6CC3"/>
    <w:rsid w:val="006E4CDE"/>
    <w:rsid w:val="006F466F"/>
    <w:rsid w:val="00702F64"/>
    <w:rsid w:val="00711A44"/>
    <w:rsid w:val="00717B3A"/>
    <w:rsid w:val="00730A4E"/>
    <w:rsid w:val="0074032A"/>
    <w:rsid w:val="00740BF5"/>
    <w:rsid w:val="007444D6"/>
    <w:rsid w:val="00752B41"/>
    <w:rsid w:val="007542CF"/>
    <w:rsid w:val="00755ADB"/>
    <w:rsid w:val="00762F66"/>
    <w:rsid w:val="007820D1"/>
    <w:rsid w:val="00796262"/>
    <w:rsid w:val="007B2575"/>
    <w:rsid w:val="007B26B2"/>
    <w:rsid w:val="007B4636"/>
    <w:rsid w:val="007B5DF5"/>
    <w:rsid w:val="007B6822"/>
    <w:rsid w:val="007C77E0"/>
    <w:rsid w:val="007E7908"/>
    <w:rsid w:val="00801C0F"/>
    <w:rsid w:val="00802EF3"/>
    <w:rsid w:val="00806B37"/>
    <w:rsid w:val="0080790C"/>
    <w:rsid w:val="00807EB3"/>
    <w:rsid w:val="00826AB5"/>
    <w:rsid w:val="00834904"/>
    <w:rsid w:val="00835919"/>
    <w:rsid w:val="00837561"/>
    <w:rsid w:val="008430BA"/>
    <w:rsid w:val="00843CCE"/>
    <w:rsid w:val="008466E0"/>
    <w:rsid w:val="00846EA4"/>
    <w:rsid w:val="008525AE"/>
    <w:rsid w:val="00853636"/>
    <w:rsid w:val="00853B07"/>
    <w:rsid w:val="00855D60"/>
    <w:rsid w:val="00856B3E"/>
    <w:rsid w:val="00862378"/>
    <w:rsid w:val="008648F6"/>
    <w:rsid w:val="0087342E"/>
    <w:rsid w:val="00874315"/>
    <w:rsid w:val="00880B17"/>
    <w:rsid w:val="00880EDB"/>
    <w:rsid w:val="0088377F"/>
    <w:rsid w:val="00884FBC"/>
    <w:rsid w:val="00886083"/>
    <w:rsid w:val="0088796E"/>
    <w:rsid w:val="00896B90"/>
    <w:rsid w:val="008A1C2C"/>
    <w:rsid w:val="008A3662"/>
    <w:rsid w:val="008A4929"/>
    <w:rsid w:val="008A7A33"/>
    <w:rsid w:val="008B0026"/>
    <w:rsid w:val="008B2768"/>
    <w:rsid w:val="008C2BBD"/>
    <w:rsid w:val="008C3759"/>
    <w:rsid w:val="008C493F"/>
    <w:rsid w:val="008C67B3"/>
    <w:rsid w:val="008D2EC0"/>
    <w:rsid w:val="008D46AC"/>
    <w:rsid w:val="008D50E8"/>
    <w:rsid w:val="008D6350"/>
    <w:rsid w:val="008D77CD"/>
    <w:rsid w:val="008E5E11"/>
    <w:rsid w:val="00900F0E"/>
    <w:rsid w:val="00901BD9"/>
    <w:rsid w:val="0090275E"/>
    <w:rsid w:val="00904797"/>
    <w:rsid w:val="009063A9"/>
    <w:rsid w:val="00911AFD"/>
    <w:rsid w:val="00911E4C"/>
    <w:rsid w:val="00913E02"/>
    <w:rsid w:val="009174C0"/>
    <w:rsid w:val="00921607"/>
    <w:rsid w:val="00921EB0"/>
    <w:rsid w:val="00922B93"/>
    <w:rsid w:val="00922C83"/>
    <w:rsid w:val="00925234"/>
    <w:rsid w:val="00927EB1"/>
    <w:rsid w:val="009320E5"/>
    <w:rsid w:val="009361D7"/>
    <w:rsid w:val="0093644D"/>
    <w:rsid w:val="00936F88"/>
    <w:rsid w:val="00941F1D"/>
    <w:rsid w:val="00942013"/>
    <w:rsid w:val="009439D0"/>
    <w:rsid w:val="00946566"/>
    <w:rsid w:val="00947101"/>
    <w:rsid w:val="00957912"/>
    <w:rsid w:val="0096069F"/>
    <w:rsid w:val="00965E67"/>
    <w:rsid w:val="0097371D"/>
    <w:rsid w:val="00973C8A"/>
    <w:rsid w:val="00980EE0"/>
    <w:rsid w:val="009949BF"/>
    <w:rsid w:val="009A5C0C"/>
    <w:rsid w:val="009B47FD"/>
    <w:rsid w:val="009C4489"/>
    <w:rsid w:val="009D2B99"/>
    <w:rsid w:val="009D4253"/>
    <w:rsid w:val="009D486E"/>
    <w:rsid w:val="009D4A14"/>
    <w:rsid w:val="009D6F29"/>
    <w:rsid w:val="009D7457"/>
    <w:rsid w:val="009E1C5E"/>
    <w:rsid w:val="009F5129"/>
    <w:rsid w:val="00A10287"/>
    <w:rsid w:val="00A10CE1"/>
    <w:rsid w:val="00A1165F"/>
    <w:rsid w:val="00A13216"/>
    <w:rsid w:val="00A13F4E"/>
    <w:rsid w:val="00A14713"/>
    <w:rsid w:val="00A23C49"/>
    <w:rsid w:val="00A23E04"/>
    <w:rsid w:val="00A265D7"/>
    <w:rsid w:val="00A278D9"/>
    <w:rsid w:val="00A27949"/>
    <w:rsid w:val="00A3448B"/>
    <w:rsid w:val="00A533DD"/>
    <w:rsid w:val="00A56500"/>
    <w:rsid w:val="00A64AF9"/>
    <w:rsid w:val="00A6606D"/>
    <w:rsid w:val="00A703CB"/>
    <w:rsid w:val="00A72B6A"/>
    <w:rsid w:val="00A73C86"/>
    <w:rsid w:val="00A740E4"/>
    <w:rsid w:val="00A74EE5"/>
    <w:rsid w:val="00A77A03"/>
    <w:rsid w:val="00A833B7"/>
    <w:rsid w:val="00AA19D3"/>
    <w:rsid w:val="00AA1CDA"/>
    <w:rsid w:val="00AA213C"/>
    <w:rsid w:val="00AA4084"/>
    <w:rsid w:val="00AA5733"/>
    <w:rsid w:val="00AA6083"/>
    <w:rsid w:val="00AB3C92"/>
    <w:rsid w:val="00AB7C04"/>
    <w:rsid w:val="00AC073C"/>
    <w:rsid w:val="00AC1CBC"/>
    <w:rsid w:val="00AC2821"/>
    <w:rsid w:val="00AC4015"/>
    <w:rsid w:val="00AC43B6"/>
    <w:rsid w:val="00AC472C"/>
    <w:rsid w:val="00AC621B"/>
    <w:rsid w:val="00AC74E8"/>
    <w:rsid w:val="00AD02BE"/>
    <w:rsid w:val="00AD4866"/>
    <w:rsid w:val="00AD61DA"/>
    <w:rsid w:val="00AD776C"/>
    <w:rsid w:val="00AE1538"/>
    <w:rsid w:val="00AE182F"/>
    <w:rsid w:val="00AE235A"/>
    <w:rsid w:val="00AF1A5A"/>
    <w:rsid w:val="00B04A81"/>
    <w:rsid w:val="00B31DC0"/>
    <w:rsid w:val="00B33A54"/>
    <w:rsid w:val="00B549A8"/>
    <w:rsid w:val="00B553BE"/>
    <w:rsid w:val="00B56275"/>
    <w:rsid w:val="00B61E2A"/>
    <w:rsid w:val="00B62AAF"/>
    <w:rsid w:val="00B71F1D"/>
    <w:rsid w:val="00B77D1B"/>
    <w:rsid w:val="00B868CA"/>
    <w:rsid w:val="00B87C08"/>
    <w:rsid w:val="00B93DEF"/>
    <w:rsid w:val="00BA4C6E"/>
    <w:rsid w:val="00BA7A35"/>
    <w:rsid w:val="00BB4560"/>
    <w:rsid w:val="00BB677C"/>
    <w:rsid w:val="00BB72C2"/>
    <w:rsid w:val="00BC4598"/>
    <w:rsid w:val="00BD1764"/>
    <w:rsid w:val="00BD450C"/>
    <w:rsid w:val="00BD5035"/>
    <w:rsid w:val="00BE1CED"/>
    <w:rsid w:val="00BE2520"/>
    <w:rsid w:val="00BE7C62"/>
    <w:rsid w:val="00BF7ED2"/>
    <w:rsid w:val="00C046C8"/>
    <w:rsid w:val="00C05575"/>
    <w:rsid w:val="00C14275"/>
    <w:rsid w:val="00C144B6"/>
    <w:rsid w:val="00C1784F"/>
    <w:rsid w:val="00C20BE5"/>
    <w:rsid w:val="00C27912"/>
    <w:rsid w:val="00C27984"/>
    <w:rsid w:val="00C31370"/>
    <w:rsid w:val="00C3359D"/>
    <w:rsid w:val="00C4095B"/>
    <w:rsid w:val="00C4163E"/>
    <w:rsid w:val="00C53182"/>
    <w:rsid w:val="00C56A79"/>
    <w:rsid w:val="00C639C2"/>
    <w:rsid w:val="00C74A9E"/>
    <w:rsid w:val="00C80696"/>
    <w:rsid w:val="00C8593E"/>
    <w:rsid w:val="00C915CD"/>
    <w:rsid w:val="00C91917"/>
    <w:rsid w:val="00C92065"/>
    <w:rsid w:val="00C920B3"/>
    <w:rsid w:val="00C93E6C"/>
    <w:rsid w:val="00C94E53"/>
    <w:rsid w:val="00C971D7"/>
    <w:rsid w:val="00C97418"/>
    <w:rsid w:val="00CA5311"/>
    <w:rsid w:val="00CB337C"/>
    <w:rsid w:val="00CB3538"/>
    <w:rsid w:val="00CC3F95"/>
    <w:rsid w:val="00CC7F28"/>
    <w:rsid w:val="00CD3082"/>
    <w:rsid w:val="00CD602D"/>
    <w:rsid w:val="00CD63B5"/>
    <w:rsid w:val="00CF5285"/>
    <w:rsid w:val="00CF5349"/>
    <w:rsid w:val="00D02E43"/>
    <w:rsid w:val="00D03088"/>
    <w:rsid w:val="00D10F26"/>
    <w:rsid w:val="00D13BB1"/>
    <w:rsid w:val="00D16DD6"/>
    <w:rsid w:val="00D17FF9"/>
    <w:rsid w:val="00D23658"/>
    <w:rsid w:val="00D24C6C"/>
    <w:rsid w:val="00D570ED"/>
    <w:rsid w:val="00D60808"/>
    <w:rsid w:val="00D63E70"/>
    <w:rsid w:val="00D65438"/>
    <w:rsid w:val="00D65EAD"/>
    <w:rsid w:val="00D70A6D"/>
    <w:rsid w:val="00D73477"/>
    <w:rsid w:val="00D74EF9"/>
    <w:rsid w:val="00D76080"/>
    <w:rsid w:val="00D80B9B"/>
    <w:rsid w:val="00D848D6"/>
    <w:rsid w:val="00D8549A"/>
    <w:rsid w:val="00D93C6E"/>
    <w:rsid w:val="00D94C0C"/>
    <w:rsid w:val="00D96A5F"/>
    <w:rsid w:val="00DA2DA7"/>
    <w:rsid w:val="00DA5720"/>
    <w:rsid w:val="00DB152C"/>
    <w:rsid w:val="00DB1AFC"/>
    <w:rsid w:val="00DB3967"/>
    <w:rsid w:val="00DB4D13"/>
    <w:rsid w:val="00DB6C92"/>
    <w:rsid w:val="00DC776D"/>
    <w:rsid w:val="00DD22C6"/>
    <w:rsid w:val="00DD3E48"/>
    <w:rsid w:val="00DE0E87"/>
    <w:rsid w:val="00DE42BF"/>
    <w:rsid w:val="00DE62D9"/>
    <w:rsid w:val="00DE708A"/>
    <w:rsid w:val="00DF3541"/>
    <w:rsid w:val="00DF69E1"/>
    <w:rsid w:val="00E00F98"/>
    <w:rsid w:val="00E1148C"/>
    <w:rsid w:val="00E12D55"/>
    <w:rsid w:val="00E217D0"/>
    <w:rsid w:val="00E22248"/>
    <w:rsid w:val="00E32244"/>
    <w:rsid w:val="00E337D8"/>
    <w:rsid w:val="00E35EEE"/>
    <w:rsid w:val="00E4619B"/>
    <w:rsid w:val="00E4677F"/>
    <w:rsid w:val="00E47A99"/>
    <w:rsid w:val="00E51491"/>
    <w:rsid w:val="00E51541"/>
    <w:rsid w:val="00E5537B"/>
    <w:rsid w:val="00E5721E"/>
    <w:rsid w:val="00E70B1E"/>
    <w:rsid w:val="00E7211F"/>
    <w:rsid w:val="00E740C9"/>
    <w:rsid w:val="00E777EE"/>
    <w:rsid w:val="00E824CD"/>
    <w:rsid w:val="00E8371A"/>
    <w:rsid w:val="00E83925"/>
    <w:rsid w:val="00E85858"/>
    <w:rsid w:val="00E8593C"/>
    <w:rsid w:val="00E90FD3"/>
    <w:rsid w:val="00E9214E"/>
    <w:rsid w:val="00E92E32"/>
    <w:rsid w:val="00E94CF5"/>
    <w:rsid w:val="00E973F4"/>
    <w:rsid w:val="00EA2DEB"/>
    <w:rsid w:val="00EA5CB9"/>
    <w:rsid w:val="00EA6940"/>
    <w:rsid w:val="00EB4B7F"/>
    <w:rsid w:val="00EB5D5C"/>
    <w:rsid w:val="00EB6076"/>
    <w:rsid w:val="00EB6396"/>
    <w:rsid w:val="00EB7309"/>
    <w:rsid w:val="00EC430D"/>
    <w:rsid w:val="00ED2A5A"/>
    <w:rsid w:val="00EE3952"/>
    <w:rsid w:val="00EE415C"/>
    <w:rsid w:val="00EF3CD8"/>
    <w:rsid w:val="00EF5BB1"/>
    <w:rsid w:val="00F01A96"/>
    <w:rsid w:val="00F0652A"/>
    <w:rsid w:val="00F06A45"/>
    <w:rsid w:val="00F13BEC"/>
    <w:rsid w:val="00F24A9E"/>
    <w:rsid w:val="00F252D3"/>
    <w:rsid w:val="00F315B7"/>
    <w:rsid w:val="00F31630"/>
    <w:rsid w:val="00F3566A"/>
    <w:rsid w:val="00F408DD"/>
    <w:rsid w:val="00F44BA5"/>
    <w:rsid w:val="00F46312"/>
    <w:rsid w:val="00F47D8B"/>
    <w:rsid w:val="00F52813"/>
    <w:rsid w:val="00F535E5"/>
    <w:rsid w:val="00F56D41"/>
    <w:rsid w:val="00F619A7"/>
    <w:rsid w:val="00F72DCB"/>
    <w:rsid w:val="00F81B81"/>
    <w:rsid w:val="00F81F92"/>
    <w:rsid w:val="00F84198"/>
    <w:rsid w:val="00F85C8C"/>
    <w:rsid w:val="00F86E5A"/>
    <w:rsid w:val="00F955F8"/>
    <w:rsid w:val="00F97CF1"/>
    <w:rsid w:val="00FA1858"/>
    <w:rsid w:val="00FA2EA3"/>
    <w:rsid w:val="00FA5C1A"/>
    <w:rsid w:val="00FA7DF2"/>
    <w:rsid w:val="00FB0A91"/>
    <w:rsid w:val="00FB3936"/>
    <w:rsid w:val="00FB4590"/>
    <w:rsid w:val="00FC34C0"/>
    <w:rsid w:val="00FC5EA1"/>
    <w:rsid w:val="00FF3B70"/>
    <w:rsid w:val="00FF5280"/>
    <w:rsid w:val="00FF5329"/>
    <w:rsid w:val="00FF6CE9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E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E"/>
  </w:style>
  <w:style w:type="paragraph" w:styleId="1">
    <w:name w:val="heading 1"/>
    <w:basedOn w:val="a"/>
    <w:link w:val="10"/>
    <w:uiPriority w:val="9"/>
    <w:qFormat/>
    <w:rsid w:val="00F84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5BD0"/>
    <w:rPr>
      <w:b/>
      <w:bCs/>
    </w:rPr>
  </w:style>
  <w:style w:type="character" w:styleId="a6">
    <w:name w:val="Emphasis"/>
    <w:basedOn w:val="a0"/>
    <w:qFormat/>
    <w:rsid w:val="00825BD0"/>
    <w:rPr>
      <w:i/>
      <w:iCs/>
    </w:rPr>
  </w:style>
  <w:style w:type="paragraph" w:customStyle="1" w:styleId="default">
    <w:name w:val="default"/>
    <w:basedOn w:val="a"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CC7F78"/>
    <w:pPr>
      <w:suppressAutoHyphens/>
      <w:spacing w:before="100" w:after="100"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CC7F78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article-about-author">
    <w:name w:val="article-about-author"/>
    <w:basedOn w:val="a0"/>
    <w:rsid w:val="00857B69"/>
  </w:style>
  <w:style w:type="character" w:customStyle="1" w:styleId="article-text">
    <w:name w:val="article-text"/>
    <w:basedOn w:val="a0"/>
    <w:rsid w:val="00857B69"/>
  </w:style>
  <w:style w:type="character" w:customStyle="1" w:styleId="FontStyle12">
    <w:name w:val="Font Style12"/>
    <w:rsid w:val="009F382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3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2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90FB2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B149C0"/>
  </w:style>
  <w:style w:type="character" w:customStyle="1" w:styleId="rvts11">
    <w:name w:val="rvts11"/>
    <w:rsid w:val="003B74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84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-weiss-formitem">
    <w:name w:val="l-weiss-form__item"/>
    <w:basedOn w:val="a0"/>
    <w:rsid w:val="004A4DBF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xfm31562094">
    <w:name w:val="xfm_31562094"/>
    <w:basedOn w:val="a0"/>
    <w:rsid w:val="001B5B4C"/>
  </w:style>
  <w:style w:type="table" w:customStyle="1" w:styleId="11">
    <w:name w:val="Сітка таблиці1"/>
    <w:basedOn w:val="a1"/>
    <w:next w:val="a7"/>
    <w:uiPriority w:val="59"/>
    <w:rsid w:val="0025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7"/>
    <w:uiPriority w:val="59"/>
    <w:rsid w:val="0066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94C0C"/>
  </w:style>
  <w:style w:type="paragraph" w:styleId="af3">
    <w:name w:val="footer"/>
    <w:basedOn w:val="a"/>
    <w:link w:val="af4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9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E"/>
  </w:style>
  <w:style w:type="paragraph" w:styleId="1">
    <w:name w:val="heading 1"/>
    <w:basedOn w:val="a"/>
    <w:link w:val="10"/>
    <w:uiPriority w:val="9"/>
    <w:qFormat/>
    <w:rsid w:val="00F84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5BD0"/>
    <w:rPr>
      <w:b/>
      <w:bCs/>
    </w:rPr>
  </w:style>
  <w:style w:type="character" w:styleId="a6">
    <w:name w:val="Emphasis"/>
    <w:basedOn w:val="a0"/>
    <w:qFormat/>
    <w:rsid w:val="00825BD0"/>
    <w:rPr>
      <w:i/>
      <w:iCs/>
    </w:rPr>
  </w:style>
  <w:style w:type="paragraph" w:customStyle="1" w:styleId="default">
    <w:name w:val="default"/>
    <w:basedOn w:val="a"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CC7F78"/>
    <w:pPr>
      <w:suppressAutoHyphens/>
      <w:spacing w:before="100" w:after="100"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CC7F78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article-about-author">
    <w:name w:val="article-about-author"/>
    <w:basedOn w:val="a0"/>
    <w:rsid w:val="00857B69"/>
  </w:style>
  <w:style w:type="character" w:customStyle="1" w:styleId="article-text">
    <w:name w:val="article-text"/>
    <w:basedOn w:val="a0"/>
    <w:rsid w:val="00857B69"/>
  </w:style>
  <w:style w:type="character" w:customStyle="1" w:styleId="FontStyle12">
    <w:name w:val="Font Style12"/>
    <w:rsid w:val="009F382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3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2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90FB2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B149C0"/>
  </w:style>
  <w:style w:type="character" w:customStyle="1" w:styleId="rvts11">
    <w:name w:val="rvts11"/>
    <w:rsid w:val="003B74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84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-weiss-formitem">
    <w:name w:val="l-weiss-form__item"/>
    <w:basedOn w:val="a0"/>
    <w:rsid w:val="004A4DBF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xfm31562094">
    <w:name w:val="xfm_31562094"/>
    <w:basedOn w:val="a0"/>
    <w:rsid w:val="001B5B4C"/>
  </w:style>
  <w:style w:type="table" w:customStyle="1" w:styleId="11">
    <w:name w:val="Сітка таблиці1"/>
    <w:basedOn w:val="a1"/>
    <w:next w:val="a7"/>
    <w:uiPriority w:val="59"/>
    <w:rsid w:val="0025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7"/>
    <w:uiPriority w:val="59"/>
    <w:rsid w:val="0066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94C0C"/>
  </w:style>
  <w:style w:type="paragraph" w:styleId="af3">
    <w:name w:val="footer"/>
    <w:basedOn w:val="a"/>
    <w:link w:val="af4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9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7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KOmfXQIoaNLkCKP+TPEO9jXGMQ==">AMUW2mWJc06O1uyNb46iYTRUPEV5IdkVCXfXtIKTt5W9UqWcXbRmAAVQujyWel4ty3Q6oTkiKluDyfzpgI8hAGr4ra31R0NsH4QT2OkqO98cmoJfR8sANLSa4nKRCLFce/eBj/8DI4UL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3594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Слинько</dc:creator>
  <cp:lastModifiedBy>Тітомир Ольга Миколаївна</cp:lastModifiedBy>
  <cp:revision>29</cp:revision>
  <cp:lastPrinted>2026-06-01T12:30:00Z</cp:lastPrinted>
  <dcterms:created xsi:type="dcterms:W3CDTF">2026-01-02T12:08:00Z</dcterms:created>
  <dcterms:modified xsi:type="dcterms:W3CDTF">2026-07-17T11:22:00Z</dcterms:modified>
</cp:coreProperties>
</file>